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5" w:type="dxa"/>
        <w:tblInd w:w="-3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70" w:type="dxa"/>
          <w:right w:w="70" w:type="dxa"/>
        </w:tblCellMar>
        <w:tblLook w:val="0000" w:firstRow="0" w:lastRow="0" w:firstColumn="0" w:lastColumn="0" w:noHBand="0" w:noVBand="0"/>
      </w:tblPr>
      <w:tblGrid>
        <w:gridCol w:w="10755"/>
      </w:tblGrid>
      <w:tr w:rsidR="00B43901" w14:paraId="03375049" w14:textId="77777777" w:rsidTr="00B43901">
        <w:trPr>
          <w:trHeight w:val="15199"/>
        </w:trPr>
        <w:tc>
          <w:tcPr>
            <w:tcW w:w="10755" w:type="dxa"/>
          </w:tcPr>
          <w:p w14:paraId="579530FE" w14:textId="085B9E9A" w:rsidR="00B43901" w:rsidRDefault="00B43901" w:rsidP="00B43901">
            <w:pPr>
              <w:ind w:left="311"/>
            </w:pPr>
            <w:r w:rsidRPr="00A10DF3">
              <w:rPr>
                <w:noProof/>
                <w:sz w:val="24"/>
                <w:szCs w:val="24"/>
              </w:rPr>
              <w:drawing>
                <wp:anchor distT="0" distB="0" distL="114300" distR="114300" simplePos="0" relativeHeight="251661312" behindDoc="1" locked="0" layoutInCell="1" allowOverlap="1" wp14:anchorId="0A8817DC" wp14:editId="56A0D0CB">
                  <wp:simplePos x="0" y="0"/>
                  <wp:positionH relativeFrom="page">
                    <wp:posOffset>5314950</wp:posOffset>
                  </wp:positionH>
                  <wp:positionV relativeFrom="margin">
                    <wp:posOffset>76200</wp:posOffset>
                  </wp:positionV>
                  <wp:extent cx="1352550" cy="760095"/>
                  <wp:effectExtent l="0" t="0" r="0" b="1905"/>
                  <wp:wrapTight wrapText="bothSides">
                    <wp:wrapPolygon edited="0">
                      <wp:start x="0" y="0"/>
                      <wp:lineTo x="0" y="21113"/>
                      <wp:lineTo x="21296" y="21113"/>
                      <wp:lineTo x="21296" y="0"/>
                      <wp:lineTo x="0" y="0"/>
                    </wp:wrapPolygon>
                  </wp:wrapTight>
                  <wp:docPr id="2186" name="Resim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760095"/>
                          </a:xfrm>
                          <a:prstGeom prst="rect">
                            <a:avLst/>
                          </a:prstGeom>
                        </pic:spPr>
                      </pic:pic>
                    </a:graphicData>
                  </a:graphic>
                  <wp14:sizeRelH relativeFrom="margin">
                    <wp14:pctWidth>0</wp14:pctWidth>
                  </wp14:sizeRelH>
                  <wp14:sizeRelV relativeFrom="margin">
                    <wp14:pctHeight>0</wp14:pctHeight>
                  </wp14:sizeRelV>
                </wp:anchor>
              </w:drawing>
            </w:r>
            <w:r w:rsidRPr="00E9235F">
              <w:rPr>
                <w:rFonts w:ascii="Arial" w:hAnsi="Arial" w:cs="Arial"/>
                <w:noProof/>
              </w:rPr>
              <w:drawing>
                <wp:inline distT="0" distB="0" distL="0" distR="0" wp14:anchorId="39A4CAB5" wp14:editId="4FE03793">
                  <wp:extent cx="1009650" cy="866775"/>
                  <wp:effectExtent l="0" t="0" r="0" b="9525"/>
                  <wp:docPr id="2185"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a:fillRect/>
                          </a:stretch>
                        </pic:blipFill>
                        <pic:spPr>
                          <a:xfrm>
                            <a:off x="0" y="0"/>
                            <a:ext cx="1009650" cy="866775"/>
                          </a:xfrm>
                          <a:prstGeom prst="rect">
                            <a:avLst/>
                          </a:prstGeom>
                        </pic:spPr>
                      </pic:pic>
                    </a:graphicData>
                  </a:graphic>
                </wp:inline>
              </w:drawing>
            </w:r>
          </w:p>
          <w:p w14:paraId="11855F6F" w14:textId="677E3E7F" w:rsidR="00B43901" w:rsidRPr="00097D91" w:rsidRDefault="00B43901" w:rsidP="00B43901">
            <w:pPr>
              <w:ind w:left="404"/>
              <w:jc w:val="center"/>
              <w:rPr>
                <w:rFonts w:ascii="Times New Roman" w:eastAsia="Arial" w:hAnsi="Times New Roman" w:cs="Times New Roman"/>
                <w:b/>
                <w:sz w:val="24"/>
                <w:szCs w:val="24"/>
              </w:rPr>
            </w:pPr>
            <w:r w:rsidRPr="00097D91">
              <w:rPr>
                <w:rFonts w:ascii="Times New Roman" w:eastAsia="Arial" w:hAnsi="Times New Roman" w:cs="Times New Roman"/>
                <w:b/>
                <w:sz w:val="24"/>
                <w:szCs w:val="24"/>
              </w:rPr>
              <w:t>Kolluk Gözetim Komisyonun</w:t>
            </w:r>
            <w:r w:rsidR="00202768" w:rsidRPr="00097D91">
              <w:rPr>
                <w:rFonts w:ascii="Times New Roman" w:eastAsia="Arial" w:hAnsi="Times New Roman" w:cs="Times New Roman"/>
                <w:b/>
                <w:sz w:val="24"/>
                <w:szCs w:val="24"/>
              </w:rPr>
              <w:t>un</w:t>
            </w:r>
            <w:r w:rsidRPr="00097D91">
              <w:rPr>
                <w:rFonts w:ascii="Times New Roman" w:eastAsia="Arial" w:hAnsi="Times New Roman" w:cs="Times New Roman"/>
                <w:b/>
                <w:sz w:val="24"/>
                <w:szCs w:val="24"/>
              </w:rPr>
              <w:t xml:space="preserve"> 03.11.2021 tarih</w:t>
            </w:r>
            <w:r w:rsidR="00202768" w:rsidRPr="00097D91">
              <w:rPr>
                <w:rFonts w:ascii="Times New Roman" w:eastAsia="Arial" w:hAnsi="Times New Roman" w:cs="Times New Roman"/>
                <w:b/>
                <w:sz w:val="24"/>
                <w:szCs w:val="24"/>
              </w:rPr>
              <w:t>li ve</w:t>
            </w:r>
            <w:r w:rsidRPr="00097D91">
              <w:rPr>
                <w:rFonts w:ascii="Times New Roman" w:eastAsia="Arial" w:hAnsi="Times New Roman" w:cs="Times New Roman"/>
                <w:b/>
                <w:sz w:val="24"/>
                <w:szCs w:val="24"/>
              </w:rPr>
              <w:t xml:space="preserve"> 2021/11 sayılı</w:t>
            </w:r>
            <w:r w:rsidR="00202768" w:rsidRPr="00097D91">
              <w:rPr>
                <w:rFonts w:ascii="Times New Roman" w:eastAsia="Arial" w:hAnsi="Times New Roman" w:cs="Times New Roman"/>
                <w:b/>
                <w:sz w:val="24"/>
                <w:szCs w:val="24"/>
              </w:rPr>
              <w:t xml:space="preserve"> ilke kararında</w:t>
            </w:r>
            <w:r w:rsidRPr="00097D91">
              <w:rPr>
                <w:rFonts w:ascii="Times New Roman" w:eastAsia="Arial" w:hAnsi="Times New Roman" w:cs="Times New Roman"/>
                <w:b/>
                <w:sz w:val="24"/>
                <w:szCs w:val="24"/>
              </w:rPr>
              <w:t>;</w:t>
            </w:r>
          </w:p>
          <w:p w14:paraId="44AAF306" w14:textId="77777777" w:rsidR="00B43901" w:rsidRPr="00097D91" w:rsidRDefault="00B43901" w:rsidP="00B43901">
            <w:pPr>
              <w:spacing w:before="120"/>
              <w:ind w:left="240" w:right="192"/>
              <w:jc w:val="both"/>
              <w:rPr>
                <w:rFonts w:ascii="Times New Roman" w:hAnsi="Times New Roman" w:cs="Times New Roman"/>
                <w:sz w:val="24"/>
                <w:szCs w:val="24"/>
              </w:rPr>
            </w:pPr>
            <w:r w:rsidRPr="00097D91">
              <w:rPr>
                <w:rFonts w:ascii="Times New Roman" w:hAnsi="Times New Roman" w:cs="Times New Roman"/>
                <w:sz w:val="24"/>
                <w:szCs w:val="24"/>
              </w:rPr>
              <w:t xml:space="preserve">           6713 sayılı Kolluk Gözetim Komisyonu Kurulması Hakkında Kanunun Uygulanmasına Dair Yönetmeliğin </w:t>
            </w:r>
            <w:proofErr w:type="gramStart"/>
            <w:r w:rsidRPr="00097D91">
              <w:rPr>
                <w:rFonts w:ascii="Times New Roman" w:hAnsi="Times New Roman" w:cs="Times New Roman"/>
                <w:sz w:val="24"/>
                <w:szCs w:val="24"/>
              </w:rPr>
              <w:t xml:space="preserve">76 </w:t>
            </w:r>
            <w:proofErr w:type="spellStart"/>
            <w:r w:rsidRPr="00097D91">
              <w:rPr>
                <w:rFonts w:ascii="Times New Roman" w:hAnsi="Times New Roman" w:cs="Times New Roman"/>
                <w:sz w:val="24"/>
                <w:szCs w:val="24"/>
              </w:rPr>
              <w:t>ncı</w:t>
            </w:r>
            <w:proofErr w:type="spellEnd"/>
            <w:proofErr w:type="gramEnd"/>
            <w:r w:rsidRPr="00097D91">
              <w:rPr>
                <w:rFonts w:ascii="Times New Roman" w:hAnsi="Times New Roman" w:cs="Times New Roman"/>
                <w:sz w:val="24"/>
                <w:szCs w:val="24"/>
              </w:rPr>
              <w:t xml:space="preserve"> maddesi uyarınca; Emniyet Genel Müdürlüğü, Jandarma Genel Komutanlığı, Sahil Güvenlik Komutanlığı ile Jandarma ve Sahil Güvenlik Akademisi Başkanlığı merkez ve taşra teşkilatları kolluk ihbar/şikâyet büro/birimlerinin hazırladıkları/hazırlayacakları “Risk Analiz Raporları” konusu görüşüldü; </w:t>
            </w:r>
          </w:p>
          <w:p w14:paraId="6D3A14E1" w14:textId="77777777" w:rsidR="00B43901" w:rsidRPr="00097D91" w:rsidRDefault="00B43901" w:rsidP="00B43901">
            <w:pPr>
              <w:spacing w:before="120"/>
              <w:ind w:left="311" w:hanging="71"/>
              <w:jc w:val="both"/>
              <w:rPr>
                <w:rFonts w:ascii="Times New Roman" w:hAnsi="Times New Roman" w:cs="Times New Roman"/>
                <w:sz w:val="24"/>
                <w:szCs w:val="24"/>
              </w:rPr>
            </w:pPr>
            <w:r w:rsidRPr="00097D91">
              <w:rPr>
                <w:rFonts w:ascii="Times New Roman" w:hAnsi="Times New Roman" w:cs="Times New Roman"/>
                <w:sz w:val="24"/>
                <w:szCs w:val="24"/>
              </w:rPr>
              <w:t xml:space="preserve">            Risk analiz raporları hazırlanırken:</w:t>
            </w:r>
          </w:p>
          <w:p w14:paraId="683FE490" w14:textId="77777777" w:rsidR="00B43901" w:rsidRPr="00097D91" w:rsidRDefault="00B43901" w:rsidP="00B43901">
            <w:pPr>
              <w:spacing w:before="120"/>
              <w:ind w:left="240" w:right="192" w:firstLine="709"/>
              <w:jc w:val="both"/>
              <w:rPr>
                <w:rFonts w:ascii="Times New Roman" w:hAnsi="Times New Roman" w:cs="Times New Roman"/>
                <w:sz w:val="24"/>
                <w:szCs w:val="24"/>
              </w:rPr>
            </w:pPr>
            <w:r w:rsidRPr="00097D91">
              <w:rPr>
                <w:rFonts w:ascii="Times New Roman" w:hAnsi="Times New Roman" w:cs="Times New Roman"/>
                <w:b/>
                <w:sz w:val="24"/>
                <w:szCs w:val="24"/>
              </w:rPr>
              <w:t>(1)</w:t>
            </w:r>
            <w:r w:rsidRPr="00097D91">
              <w:rPr>
                <w:rFonts w:ascii="Times New Roman" w:hAnsi="Times New Roman" w:cs="Times New Roman"/>
                <w:sz w:val="24"/>
                <w:szCs w:val="24"/>
              </w:rPr>
              <w:t xml:space="preserve"> Yönetmelikte bahsedilen Risk Analiz Raporlarının, kolluk ihbar/şikâyet birimlerince ve bu birimlerin hiyerarşik amirlerinin sorumluluğu altında hazırlanmasına,</w:t>
            </w:r>
          </w:p>
          <w:p w14:paraId="763046A5" w14:textId="77777777" w:rsidR="00B43901" w:rsidRPr="00097D91" w:rsidRDefault="00B43901" w:rsidP="00B43901">
            <w:pPr>
              <w:spacing w:before="120"/>
              <w:ind w:left="311" w:firstLine="638"/>
              <w:jc w:val="both"/>
              <w:rPr>
                <w:rFonts w:ascii="Times New Roman" w:hAnsi="Times New Roman" w:cs="Times New Roman"/>
                <w:sz w:val="24"/>
                <w:szCs w:val="24"/>
              </w:rPr>
            </w:pPr>
            <w:r w:rsidRPr="00097D91">
              <w:rPr>
                <w:rFonts w:ascii="Times New Roman" w:hAnsi="Times New Roman" w:cs="Times New Roman"/>
                <w:b/>
                <w:sz w:val="24"/>
                <w:szCs w:val="24"/>
              </w:rPr>
              <w:t>(2)</w:t>
            </w:r>
            <w:r w:rsidRPr="00097D91">
              <w:rPr>
                <w:rFonts w:ascii="Times New Roman" w:hAnsi="Times New Roman" w:cs="Times New Roman"/>
                <w:sz w:val="24"/>
                <w:szCs w:val="24"/>
              </w:rPr>
              <w:t xml:space="preserve">  Bu suretle hazırlanan risk analiz raporlarının taşrada;</w:t>
            </w:r>
          </w:p>
          <w:p w14:paraId="35131C15" w14:textId="77777777" w:rsidR="00B43901" w:rsidRPr="00097D91" w:rsidRDefault="00B43901" w:rsidP="00B43901">
            <w:pPr>
              <w:spacing w:before="120"/>
              <w:ind w:left="311" w:firstLine="709"/>
              <w:jc w:val="both"/>
              <w:rPr>
                <w:rFonts w:ascii="Times New Roman" w:hAnsi="Times New Roman" w:cs="Times New Roman"/>
                <w:sz w:val="24"/>
                <w:szCs w:val="24"/>
              </w:rPr>
            </w:pPr>
            <w:proofErr w:type="gramStart"/>
            <w:r w:rsidRPr="00097D91">
              <w:rPr>
                <w:rFonts w:ascii="Times New Roman" w:hAnsi="Times New Roman" w:cs="Times New Roman"/>
                <w:b/>
                <w:sz w:val="24"/>
                <w:szCs w:val="24"/>
              </w:rPr>
              <w:t>a</w:t>
            </w:r>
            <w:proofErr w:type="gramEnd"/>
            <w:r w:rsidRPr="00097D91">
              <w:rPr>
                <w:rFonts w:ascii="Times New Roman" w:hAnsi="Times New Roman" w:cs="Times New Roman"/>
                <w:b/>
                <w:sz w:val="24"/>
                <w:szCs w:val="24"/>
              </w:rPr>
              <w:t xml:space="preserve">- </w:t>
            </w:r>
            <w:r w:rsidRPr="00097D91">
              <w:rPr>
                <w:rFonts w:ascii="Times New Roman" w:hAnsi="Times New Roman" w:cs="Times New Roman"/>
                <w:sz w:val="24"/>
                <w:szCs w:val="24"/>
              </w:rPr>
              <w:t>Emniyet ve Jandarma teşkilatlarında:</w:t>
            </w:r>
          </w:p>
          <w:p w14:paraId="39291A16" w14:textId="77777777" w:rsidR="00B43901" w:rsidRPr="00097D91" w:rsidRDefault="00B43901" w:rsidP="00B43901">
            <w:pPr>
              <w:spacing w:before="120"/>
              <w:ind w:left="240" w:right="192" w:firstLine="709"/>
              <w:jc w:val="both"/>
              <w:rPr>
                <w:rFonts w:ascii="Times New Roman" w:hAnsi="Times New Roman" w:cs="Times New Roman"/>
                <w:sz w:val="24"/>
                <w:szCs w:val="24"/>
              </w:rPr>
            </w:pPr>
            <w:r w:rsidRPr="00097D91">
              <w:rPr>
                <w:rFonts w:ascii="Times New Roman" w:hAnsi="Times New Roman" w:cs="Times New Roman"/>
                <w:sz w:val="24"/>
                <w:szCs w:val="24"/>
              </w:rPr>
              <w:t>İl emniyet müdürünün ve il jandarma komutanının imzasıyla bağlı oldukları ilin valisine; ilçe jandarma komutanı veya ilçe emniyet müdürünün imzasıyla bağlı oldukları ilçenin kaymakamına sunulmasına,</w:t>
            </w:r>
          </w:p>
          <w:p w14:paraId="78DA8A44" w14:textId="77777777" w:rsidR="00B43901" w:rsidRPr="00097D91" w:rsidRDefault="00B43901" w:rsidP="00B43901">
            <w:pPr>
              <w:spacing w:before="120"/>
              <w:ind w:left="240" w:right="192" w:firstLine="709"/>
              <w:jc w:val="both"/>
              <w:rPr>
                <w:rFonts w:ascii="Times New Roman" w:hAnsi="Times New Roman" w:cs="Times New Roman"/>
                <w:sz w:val="24"/>
                <w:szCs w:val="24"/>
              </w:rPr>
            </w:pPr>
            <w:r w:rsidRPr="00097D91">
              <w:rPr>
                <w:rFonts w:ascii="Times New Roman" w:hAnsi="Times New Roman" w:cs="Times New Roman"/>
                <w:sz w:val="24"/>
                <w:szCs w:val="24"/>
              </w:rPr>
              <w:t>İlçe kaymakamınca, raporların birleştirilerek kendi mütalaasıyla birlikte tek bir “ilçe risk analiz raporu” hazırlanıp, valiye sunulmasına,</w:t>
            </w:r>
          </w:p>
          <w:p w14:paraId="72F74F75" w14:textId="77777777" w:rsidR="00B43901" w:rsidRPr="00097D91" w:rsidRDefault="00B43901" w:rsidP="00B43901">
            <w:pPr>
              <w:spacing w:before="120"/>
              <w:ind w:left="240" w:right="192" w:firstLine="709"/>
              <w:jc w:val="both"/>
              <w:rPr>
                <w:rFonts w:ascii="Times New Roman" w:hAnsi="Times New Roman" w:cs="Times New Roman"/>
                <w:sz w:val="24"/>
                <w:szCs w:val="24"/>
              </w:rPr>
            </w:pPr>
            <w:r w:rsidRPr="00097D91">
              <w:rPr>
                <w:rFonts w:ascii="Times New Roman" w:hAnsi="Times New Roman" w:cs="Times New Roman"/>
                <w:sz w:val="24"/>
                <w:szCs w:val="24"/>
              </w:rPr>
              <w:t>Vali tarafından, il kuruluşları ile ilçelerden gelen raporların birleştirilerek kendi mütalaasıyla birlikte tek bir “il risk analiz raporu” hazırlanıp Kolluk Gözetim Komisyonuna sunulmasına,</w:t>
            </w:r>
          </w:p>
          <w:p w14:paraId="14B025FB" w14:textId="77777777" w:rsidR="00B43901" w:rsidRPr="00097D91" w:rsidRDefault="00B43901" w:rsidP="00B43901">
            <w:pPr>
              <w:spacing w:before="120"/>
              <w:ind w:left="311" w:firstLine="709"/>
              <w:jc w:val="both"/>
              <w:rPr>
                <w:rFonts w:ascii="Times New Roman" w:hAnsi="Times New Roman" w:cs="Times New Roman"/>
                <w:sz w:val="24"/>
                <w:szCs w:val="24"/>
              </w:rPr>
            </w:pPr>
            <w:proofErr w:type="gramStart"/>
            <w:r w:rsidRPr="00097D91">
              <w:rPr>
                <w:rFonts w:ascii="Times New Roman" w:hAnsi="Times New Roman" w:cs="Times New Roman"/>
                <w:b/>
                <w:sz w:val="24"/>
                <w:szCs w:val="24"/>
              </w:rPr>
              <w:t>b</w:t>
            </w:r>
            <w:proofErr w:type="gramEnd"/>
            <w:r w:rsidRPr="00097D91">
              <w:rPr>
                <w:rFonts w:ascii="Times New Roman" w:hAnsi="Times New Roman" w:cs="Times New Roman"/>
                <w:b/>
                <w:sz w:val="24"/>
                <w:szCs w:val="24"/>
              </w:rPr>
              <w:t>-</w:t>
            </w:r>
            <w:r w:rsidRPr="00097D91">
              <w:rPr>
                <w:rFonts w:ascii="Times New Roman" w:hAnsi="Times New Roman" w:cs="Times New Roman"/>
                <w:sz w:val="24"/>
                <w:szCs w:val="24"/>
              </w:rPr>
              <w:t xml:space="preserve"> Sahil güvenlik teşkilatında risk analiz raporunun:</w:t>
            </w:r>
          </w:p>
          <w:p w14:paraId="44ADC601" w14:textId="77777777" w:rsidR="00B43901" w:rsidRPr="00097D91" w:rsidRDefault="00B43901" w:rsidP="00B43901">
            <w:pPr>
              <w:spacing w:before="120"/>
              <w:ind w:left="311" w:firstLine="638"/>
              <w:jc w:val="both"/>
              <w:rPr>
                <w:rFonts w:ascii="Times New Roman" w:hAnsi="Times New Roman" w:cs="Times New Roman"/>
                <w:sz w:val="24"/>
                <w:szCs w:val="24"/>
              </w:rPr>
            </w:pPr>
            <w:r w:rsidRPr="00097D91">
              <w:rPr>
                <w:rFonts w:ascii="Times New Roman" w:hAnsi="Times New Roman" w:cs="Times New Roman"/>
                <w:sz w:val="24"/>
                <w:szCs w:val="24"/>
              </w:rPr>
              <w:t>Sahil güvenlik grup komutanının imzasıyla bağlı olduğu ilin valisine sunulmasına,</w:t>
            </w:r>
          </w:p>
          <w:p w14:paraId="5991FA90" w14:textId="77777777" w:rsidR="00B43901" w:rsidRPr="00097D91" w:rsidRDefault="00B43901" w:rsidP="00B43901">
            <w:pPr>
              <w:spacing w:before="120"/>
              <w:ind w:left="240" w:right="192" w:firstLine="709"/>
              <w:jc w:val="both"/>
              <w:rPr>
                <w:rFonts w:ascii="Times New Roman" w:hAnsi="Times New Roman" w:cs="Times New Roman"/>
                <w:sz w:val="24"/>
                <w:szCs w:val="24"/>
              </w:rPr>
            </w:pPr>
            <w:r w:rsidRPr="00097D91">
              <w:rPr>
                <w:rFonts w:ascii="Times New Roman" w:hAnsi="Times New Roman" w:cs="Times New Roman"/>
                <w:sz w:val="24"/>
                <w:szCs w:val="24"/>
              </w:rPr>
              <w:t>Vali tarafından bu raporun, kendi mütalaasıyla birlikte, bölge komutanlığının konuşlu bulunduğu ilin valisine intikal ettirilmesine,</w:t>
            </w:r>
          </w:p>
          <w:p w14:paraId="50465D39" w14:textId="77777777" w:rsidR="00B43901" w:rsidRPr="00097D91" w:rsidRDefault="00B43901" w:rsidP="00B43901">
            <w:pPr>
              <w:spacing w:before="120"/>
              <w:ind w:left="240" w:right="192" w:firstLine="709"/>
              <w:jc w:val="both"/>
              <w:rPr>
                <w:rFonts w:ascii="Times New Roman" w:hAnsi="Times New Roman" w:cs="Times New Roman"/>
                <w:sz w:val="24"/>
                <w:szCs w:val="24"/>
              </w:rPr>
            </w:pPr>
            <w:r w:rsidRPr="00097D91">
              <w:rPr>
                <w:rFonts w:ascii="Times New Roman" w:hAnsi="Times New Roman" w:cs="Times New Roman"/>
                <w:sz w:val="24"/>
                <w:szCs w:val="24"/>
              </w:rPr>
              <w:t xml:space="preserve">Bölge komutanlığının konuşlu olduğu ilin valisi tarafından, illerden gelen raporların birleştirilip, kendisinin ve sahil güvenlik bölge komutanının mütalaasıyla birlikte, yukarıda açıklanan şekilde hazırlanan “il risk analiz raporu” </w:t>
            </w:r>
            <w:proofErr w:type="spellStart"/>
            <w:r w:rsidRPr="00097D91">
              <w:rPr>
                <w:rFonts w:ascii="Times New Roman" w:hAnsi="Times New Roman" w:cs="Times New Roman"/>
                <w:sz w:val="24"/>
                <w:szCs w:val="24"/>
              </w:rPr>
              <w:t>na</w:t>
            </w:r>
            <w:proofErr w:type="spellEnd"/>
            <w:r w:rsidRPr="00097D91">
              <w:rPr>
                <w:rFonts w:ascii="Times New Roman" w:hAnsi="Times New Roman" w:cs="Times New Roman"/>
                <w:sz w:val="24"/>
                <w:szCs w:val="24"/>
              </w:rPr>
              <w:t xml:space="preserve"> dâhil edilmesine,</w:t>
            </w:r>
          </w:p>
          <w:p w14:paraId="367337AA" w14:textId="77777777" w:rsidR="00B43901" w:rsidRPr="00097D91" w:rsidRDefault="00B43901" w:rsidP="00B43901">
            <w:pPr>
              <w:spacing w:before="120"/>
              <w:ind w:left="311" w:firstLine="638"/>
              <w:jc w:val="both"/>
              <w:rPr>
                <w:rFonts w:ascii="Times New Roman" w:hAnsi="Times New Roman" w:cs="Times New Roman"/>
                <w:sz w:val="24"/>
                <w:szCs w:val="24"/>
              </w:rPr>
            </w:pPr>
            <w:r w:rsidRPr="00097D91">
              <w:rPr>
                <w:rFonts w:ascii="Times New Roman" w:hAnsi="Times New Roman" w:cs="Times New Roman"/>
                <w:sz w:val="24"/>
                <w:szCs w:val="24"/>
              </w:rPr>
              <w:t xml:space="preserve"> </w:t>
            </w:r>
            <w:r w:rsidRPr="00097D91">
              <w:rPr>
                <w:rFonts w:ascii="Times New Roman" w:hAnsi="Times New Roman" w:cs="Times New Roman"/>
                <w:b/>
                <w:sz w:val="24"/>
                <w:szCs w:val="24"/>
              </w:rPr>
              <w:t>(3)</w:t>
            </w:r>
            <w:r w:rsidRPr="00097D91">
              <w:rPr>
                <w:rFonts w:ascii="Times New Roman" w:hAnsi="Times New Roman" w:cs="Times New Roman"/>
                <w:sz w:val="24"/>
                <w:szCs w:val="24"/>
              </w:rPr>
              <w:t xml:space="preserve"> Risk analiz raporlarının imza altına alınarak üst yazı ekinde gönderilmesine,</w:t>
            </w:r>
          </w:p>
          <w:p w14:paraId="6EEB501C" w14:textId="77777777" w:rsidR="00B43901" w:rsidRPr="00097D91" w:rsidRDefault="00B43901" w:rsidP="00B43901">
            <w:pPr>
              <w:ind w:left="311"/>
              <w:rPr>
                <w:rFonts w:ascii="Times New Roman" w:hAnsi="Times New Roman" w:cs="Times New Roman"/>
                <w:sz w:val="24"/>
                <w:szCs w:val="24"/>
              </w:rPr>
            </w:pPr>
            <w:r w:rsidRPr="00097D91">
              <w:rPr>
                <w:rFonts w:ascii="Times New Roman" w:hAnsi="Times New Roman" w:cs="Times New Roman"/>
                <w:sz w:val="24"/>
                <w:szCs w:val="24"/>
              </w:rPr>
              <w:t xml:space="preserve">            Karar verilmiştir.</w:t>
            </w:r>
          </w:p>
          <w:p w14:paraId="65BC2CB5" w14:textId="77777777" w:rsidR="00202768" w:rsidRPr="00097D91" w:rsidRDefault="00202768" w:rsidP="003E1872">
            <w:pPr>
              <w:ind w:left="311" w:firstLine="638"/>
              <w:rPr>
                <w:rFonts w:ascii="Times New Roman" w:hAnsi="Times New Roman" w:cs="Times New Roman"/>
                <w:sz w:val="24"/>
                <w:szCs w:val="24"/>
              </w:rPr>
            </w:pPr>
            <w:r w:rsidRPr="00097D91">
              <w:rPr>
                <w:rFonts w:ascii="Times New Roman" w:hAnsi="Times New Roman" w:cs="Times New Roman"/>
                <w:sz w:val="24"/>
                <w:szCs w:val="24"/>
              </w:rPr>
              <w:t>İlke karar</w:t>
            </w:r>
            <w:r w:rsidR="00E66BED" w:rsidRPr="00097D91">
              <w:rPr>
                <w:rFonts w:ascii="Times New Roman" w:hAnsi="Times New Roman" w:cs="Times New Roman"/>
                <w:sz w:val="24"/>
                <w:szCs w:val="24"/>
              </w:rPr>
              <w:t>ı</w:t>
            </w:r>
            <w:r w:rsidRPr="00097D91">
              <w:rPr>
                <w:rFonts w:ascii="Times New Roman" w:hAnsi="Times New Roman" w:cs="Times New Roman"/>
                <w:sz w:val="24"/>
                <w:szCs w:val="24"/>
              </w:rPr>
              <w:t xml:space="preserve"> 11.11.2021 tarihli ve 5022 sayılı yazı ile ilgili birimlere gönderilmiştir.</w:t>
            </w:r>
          </w:p>
          <w:p w14:paraId="6DFED80F" w14:textId="4106EF89" w:rsidR="003E1872" w:rsidRPr="00097D91" w:rsidRDefault="003E1872" w:rsidP="003E1872">
            <w:pPr>
              <w:ind w:left="240" w:right="174" w:firstLine="709"/>
              <w:jc w:val="both"/>
              <w:rPr>
                <w:rFonts w:ascii="Times New Roman" w:hAnsi="Times New Roman" w:cs="Times New Roman"/>
                <w:sz w:val="24"/>
                <w:szCs w:val="24"/>
              </w:rPr>
            </w:pPr>
            <w:r w:rsidRPr="00097D91">
              <w:rPr>
                <w:rFonts w:ascii="Times New Roman" w:hAnsi="Times New Roman" w:cs="Times New Roman"/>
                <w:sz w:val="24"/>
                <w:szCs w:val="24"/>
              </w:rPr>
              <w:t xml:space="preserve">Ayrıca </w:t>
            </w:r>
            <w:r w:rsidRPr="00097D91">
              <w:rPr>
                <w:rFonts w:ascii="Times New Roman" w:hAnsi="Times New Roman" w:cs="Times New Roman"/>
                <w:sz w:val="24"/>
                <w:szCs w:val="24"/>
              </w:rPr>
              <w:t xml:space="preserve">Kolluk Gözetim Komisyonunun 25.04.2024 tarihli toplantısında alınan 2024/4 sayılı İlke Kararıyla; </w:t>
            </w:r>
            <w:r w:rsidRPr="00097D91">
              <w:rPr>
                <w:rFonts w:ascii="Times New Roman" w:hAnsi="Times New Roman" w:cs="Times New Roman"/>
                <w:i/>
                <w:sz w:val="24"/>
                <w:szCs w:val="24"/>
              </w:rPr>
              <w:t>“…Jandarma Genel Komutanlığı, Emniyet Genel Müdürlüğü, Sahil Güvenlik Komutanlığı, Jandarma ve Sahil Güvenlik Akademisi Başkanlığı ile Valilikler tarafından hazırlanarak Komisyon Sekretaryasına gönderilen Risk Analiz Raporlarının</w:t>
            </w:r>
            <w:r w:rsidRPr="00097D91">
              <w:rPr>
                <w:rFonts w:ascii="Times New Roman" w:hAnsi="Times New Roman" w:cs="Times New Roman"/>
                <w:b/>
                <w:i/>
                <w:sz w:val="24"/>
                <w:szCs w:val="24"/>
              </w:rPr>
              <w:t>,</w:t>
            </w:r>
            <w:r w:rsidRPr="00097D91">
              <w:rPr>
                <w:rFonts w:ascii="Times New Roman" w:hAnsi="Times New Roman" w:cs="Times New Roman"/>
                <w:i/>
                <w:sz w:val="24"/>
                <w:szCs w:val="24"/>
              </w:rPr>
              <w:t xml:space="preserve"> Komisyon Sekretaryasına gönderilme tarihine ilişkin mevzuatta açık hüküm bulunmaması nedeniyle uygulamada mezkur raporların ne zaman düzenleneceğine dair tereddütlerin yaşandığı anlaşıldığından, birimler arasında uygulama birliğinin sağlanması amacıyla, bir önceki yıl verilerine göre düzenlenecek Risk Analiz Raporlarının takip eden yılın en geç Şubat ayı sonuna kadar Komisyon Sekretaryasına gönderilmesine,”</w:t>
            </w:r>
            <w:r w:rsidR="002C23E6" w:rsidRPr="00097D91">
              <w:rPr>
                <w:rFonts w:ascii="Times New Roman" w:hAnsi="Times New Roman" w:cs="Times New Roman"/>
                <w:i/>
                <w:sz w:val="24"/>
                <w:szCs w:val="24"/>
              </w:rPr>
              <w:t xml:space="preserve"> </w:t>
            </w:r>
            <w:r w:rsidR="002C23E6" w:rsidRPr="00097D91">
              <w:rPr>
                <w:rFonts w:ascii="Times New Roman" w:hAnsi="Times New Roman" w:cs="Times New Roman"/>
                <w:sz w:val="24"/>
                <w:szCs w:val="24"/>
              </w:rPr>
              <w:t>karar verilmiştir.</w:t>
            </w:r>
          </w:p>
          <w:p w14:paraId="66C34209" w14:textId="77777777" w:rsidR="002C23E6" w:rsidRPr="00097D91" w:rsidRDefault="002C23E6" w:rsidP="003E1872">
            <w:pPr>
              <w:rPr>
                <w:rFonts w:ascii="Times New Roman" w:hAnsi="Times New Roman" w:cs="Times New Roman"/>
                <w:sz w:val="24"/>
                <w:szCs w:val="24"/>
              </w:rPr>
            </w:pPr>
          </w:p>
          <w:p w14:paraId="64B3976E" w14:textId="57BF9BA0" w:rsidR="003E1872" w:rsidRPr="00097D91" w:rsidRDefault="003E1872" w:rsidP="003877EC">
            <w:pPr>
              <w:ind w:left="240" w:right="174" w:firstLine="666"/>
              <w:jc w:val="both"/>
              <w:rPr>
                <w:rFonts w:ascii="Times New Roman" w:hAnsi="Times New Roman" w:cs="Times New Roman"/>
                <w:sz w:val="24"/>
                <w:szCs w:val="24"/>
              </w:rPr>
            </w:pPr>
            <w:r w:rsidRPr="00097D91">
              <w:rPr>
                <w:rFonts w:ascii="Times New Roman" w:hAnsi="Times New Roman" w:cs="Times New Roman"/>
                <w:sz w:val="24"/>
                <w:szCs w:val="24"/>
              </w:rPr>
              <w:t xml:space="preserve">Komisyonun mezkûr kararı doğrultusunda hareket edilerek Risk Analiz Raporlarının takip eden yılın en geç </w:t>
            </w:r>
            <w:r w:rsidR="00097D91" w:rsidRPr="00097D91">
              <w:rPr>
                <w:rFonts w:ascii="Times New Roman" w:hAnsi="Times New Roman" w:cs="Times New Roman"/>
                <w:sz w:val="24"/>
                <w:szCs w:val="24"/>
              </w:rPr>
              <w:t>şubat</w:t>
            </w:r>
            <w:r w:rsidRPr="00097D91">
              <w:rPr>
                <w:rFonts w:ascii="Times New Roman" w:hAnsi="Times New Roman" w:cs="Times New Roman"/>
                <w:sz w:val="24"/>
                <w:szCs w:val="24"/>
              </w:rPr>
              <w:t xml:space="preserve"> ayı sonuna kadar Komisyon Sekretaryasına gönderilmesi</w:t>
            </w:r>
            <w:r w:rsidR="00D62C83" w:rsidRPr="00097D91">
              <w:rPr>
                <w:rFonts w:ascii="Times New Roman" w:hAnsi="Times New Roman" w:cs="Times New Roman"/>
                <w:sz w:val="24"/>
                <w:szCs w:val="24"/>
              </w:rPr>
              <w:t xml:space="preserve"> hususu</w:t>
            </w:r>
            <w:r w:rsidR="00AA0259" w:rsidRPr="00097D91">
              <w:rPr>
                <w:rFonts w:ascii="Times New Roman" w:hAnsi="Times New Roman" w:cs="Times New Roman"/>
                <w:sz w:val="24"/>
                <w:szCs w:val="24"/>
              </w:rPr>
              <w:t xml:space="preserve"> 10.05.2024 tarihli ve 17883 sayılı yazı ile</w:t>
            </w:r>
            <w:r w:rsidR="00D62C83" w:rsidRPr="00097D91">
              <w:rPr>
                <w:rFonts w:ascii="Times New Roman" w:hAnsi="Times New Roman" w:cs="Times New Roman"/>
                <w:sz w:val="24"/>
                <w:szCs w:val="24"/>
              </w:rPr>
              <w:t xml:space="preserve"> ilgili birimlere bildirilmiştir.</w:t>
            </w:r>
          </w:p>
          <w:p w14:paraId="2E6C1390" w14:textId="7A6774F5" w:rsidR="003E1872" w:rsidRPr="00202768" w:rsidRDefault="003E1872" w:rsidP="003877EC">
            <w:pPr>
              <w:ind w:left="98" w:firstLine="213"/>
              <w:rPr>
                <w:rFonts w:ascii="Times New Roman" w:hAnsi="Times New Roman" w:cs="Times New Roman"/>
                <w:sz w:val="24"/>
                <w:szCs w:val="24"/>
              </w:rPr>
            </w:pPr>
            <w:bookmarkStart w:id="0" w:name="_GoBack"/>
            <w:bookmarkEnd w:id="0"/>
          </w:p>
        </w:tc>
      </w:tr>
    </w:tbl>
    <w:p w14:paraId="4FC9BB9B" w14:textId="2701B5B5" w:rsidR="00B43901" w:rsidRPr="00B43901" w:rsidRDefault="00B43901" w:rsidP="00C04BCB">
      <w:pPr>
        <w:rPr>
          <w:rFonts w:ascii="Times New Roman" w:hAnsi="Times New Roman" w:cs="Times New Roman"/>
          <w:sz w:val="24"/>
          <w:szCs w:val="24"/>
        </w:rPr>
      </w:pPr>
    </w:p>
    <w:sectPr w:rsidR="00B43901" w:rsidRPr="00B43901" w:rsidSect="00B43901">
      <w:pgSz w:w="11906" w:h="16838"/>
      <w:pgMar w:top="709"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34BD6" w14:textId="77777777" w:rsidR="006B79B3" w:rsidRDefault="006B79B3" w:rsidP="00F310B4">
      <w:pPr>
        <w:spacing w:after="0" w:line="240" w:lineRule="auto"/>
      </w:pPr>
      <w:r>
        <w:separator/>
      </w:r>
    </w:p>
  </w:endnote>
  <w:endnote w:type="continuationSeparator" w:id="0">
    <w:p w14:paraId="07A8E95B" w14:textId="77777777" w:rsidR="006B79B3" w:rsidRDefault="006B79B3" w:rsidP="00F3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725A3" w14:textId="77777777" w:rsidR="006B79B3" w:rsidRDefault="006B79B3" w:rsidP="00F310B4">
      <w:pPr>
        <w:spacing w:after="0" w:line="240" w:lineRule="auto"/>
      </w:pPr>
      <w:r>
        <w:separator/>
      </w:r>
    </w:p>
  </w:footnote>
  <w:footnote w:type="continuationSeparator" w:id="0">
    <w:p w14:paraId="1B3B0F52" w14:textId="77777777" w:rsidR="006B79B3" w:rsidRDefault="006B79B3" w:rsidP="00F31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36EFC"/>
    <w:multiLevelType w:val="hybridMultilevel"/>
    <w:tmpl w:val="C12C70D6"/>
    <w:lvl w:ilvl="0" w:tplc="8FC6258E">
      <w:start w:val="1"/>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63"/>
    <w:rsid w:val="00025FDF"/>
    <w:rsid w:val="0004534C"/>
    <w:rsid w:val="00077CBB"/>
    <w:rsid w:val="00087338"/>
    <w:rsid w:val="00090A1C"/>
    <w:rsid w:val="00097D91"/>
    <w:rsid w:val="000B0D28"/>
    <w:rsid w:val="000B5693"/>
    <w:rsid w:val="000B7DA4"/>
    <w:rsid w:val="000D2457"/>
    <w:rsid w:val="000D569C"/>
    <w:rsid w:val="000E59E2"/>
    <w:rsid w:val="000F111B"/>
    <w:rsid w:val="0015138C"/>
    <w:rsid w:val="00194881"/>
    <w:rsid w:val="001B0F83"/>
    <w:rsid w:val="00202768"/>
    <w:rsid w:val="002251D2"/>
    <w:rsid w:val="0023761B"/>
    <w:rsid w:val="002432AF"/>
    <w:rsid w:val="0027255D"/>
    <w:rsid w:val="00281A82"/>
    <w:rsid w:val="002A1C1E"/>
    <w:rsid w:val="002C23E6"/>
    <w:rsid w:val="002C50CB"/>
    <w:rsid w:val="002D1243"/>
    <w:rsid w:val="002D7035"/>
    <w:rsid w:val="002E707D"/>
    <w:rsid w:val="003100FA"/>
    <w:rsid w:val="00337DD0"/>
    <w:rsid w:val="00351763"/>
    <w:rsid w:val="003852B7"/>
    <w:rsid w:val="003877EC"/>
    <w:rsid w:val="003A3360"/>
    <w:rsid w:val="003B7018"/>
    <w:rsid w:val="003D0F53"/>
    <w:rsid w:val="003E1872"/>
    <w:rsid w:val="00413223"/>
    <w:rsid w:val="00431983"/>
    <w:rsid w:val="004347C7"/>
    <w:rsid w:val="00440C6B"/>
    <w:rsid w:val="00467F13"/>
    <w:rsid w:val="004842C4"/>
    <w:rsid w:val="004C3F29"/>
    <w:rsid w:val="004E1FC1"/>
    <w:rsid w:val="00510E6C"/>
    <w:rsid w:val="00513879"/>
    <w:rsid w:val="00520D0A"/>
    <w:rsid w:val="00531495"/>
    <w:rsid w:val="0057638D"/>
    <w:rsid w:val="00594C24"/>
    <w:rsid w:val="005B4D25"/>
    <w:rsid w:val="005B5F2D"/>
    <w:rsid w:val="005E3D3E"/>
    <w:rsid w:val="006204D0"/>
    <w:rsid w:val="00622BA6"/>
    <w:rsid w:val="00636811"/>
    <w:rsid w:val="006B1BD5"/>
    <w:rsid w:val="006B2868"/>
    <w:rsid w:val="006B79B3"/>
    <w:rsid w:val="006D47C5"/>
    <w:rsid w:val="00775205"/>
    <w:rsid w:val="00794058"/>
    <w:rsid w:val="00800BA7"/>
    <w:rsid w:val="00803D3A"/>
    <w:rsid w:val="0084448E"/>
    <w:rsid w:val="00870226"/>
    <w:rsid w:val="008C4E59"/>
    <w:rsid w:val="0090045A"/>
    <w:rsid w:val="00923C3F"/>
    <w:rsid w:val="0093387F"/>
    <w:rsid w:val="00960E18"/>
    <w:rsid w:val="0096524D"/>
    <w:rsid w:val="00965636"/>
    <w:rsid w:val="009661C2"/>
    <w:rsid w:val="009C0905"/>
    <w:rsid w:val="009D4451"/>
    <w:rsid w:val="00A07263"/>
    <w:rsid w:val="00A209C4"/>
    <w:rsid w:val="00A342E3"/>
    <w:rsid w:val="00A352AE"/>
    <w:rsid w:val="00A638AE"/>
    <w:rsid w:val="00AA0259"/>
    <w:rsid w:val="00AB08BA"/>
    <w:rsid w:val="00AE51C8"/>
    <w:rsid w:val="00AF5AC0"/>
    <w:rsid w:val="00B43901"/>
    <w:rsid w:val="00B84151"/>
    <w:rsid w:val="00C04BCB"/>
    <w:rsid w:val="00C10077"/>
    <w:rsid w:val="00C5395F"/>
    <w:rsid w:val="00C606ED"/>
    <w:rsid w:val="00CB7B5A"/>
    <w:rsid w:val="00CC6DAD"/>
    <w:rsid w:val="00CD3FD6"/>
    <w:rsid w:val="00D4083C"/>
    <w:rsid w:val="00D568BB"/>
    <w:rsid w:val="00D62C83"/>
    <w:rsid w:val="00DA08DD"/>
    <w:rsid w:val="00DA6D7A"/>
    <w:rsid w:val="00DB5A63"/>
    <w:rsid w:val="00E43AE9"/>
    <w:rsid w:val="00E66BED"/>
    <w:rsid w:val="00E85E1C"/>
    <w:rsid w:val="00E90BF5"/>
    <w:rsid w:val="00EB6A4A"/>
    <w:rsid w:val="00EB7C94"/>
    <w:rsid w:val="00F111E2"/>
    <w:rsid w:val="00F11A65"/>
    <w:rsid w:val="00F12540"/>
    <w:rsid w:val="00F310B4"/>
    <w:rsid w:val="00F539B7"/>
    <w:rsid w:val="00F825B2"/>
    <w:rsid w:val="00F902DF"/>
    <w:rsid w:val="00F9035D"/>
    <w:rsid w:val="00F95BD3"/>
    <w:rsid w:val="00FB7A11"/>
    <w:rsid w:val="00FE7CBC"/>
    <w:rsid w:val="00FF3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68C"/>
  <w15:chartTrackingRefBased/>
  <w15:docId w15:val="{FD7B6BF8-ABCB-4580-B2F0-C3858C3C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035"/>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2D7035"/>
    <w:pPr>
      <w:spacing w:after="0" w:line="240" w:lineRule="auto"/>
    </w:pPr>
    <w:rPr>
      <w:rFonts w:eastAsiaTheme="minorEastAsia"/>
      <w:lang w:eastAsia="tr-TR"/>
    </w:rPr>
    <w:tblPr>
      <w:tblCellMar>
        <w:top w:w="0" w:type="dxa"/>
        <w:left w:w="0" w:type="dxa"/>
        <w:bottom w:w="0" w:type="dxa"/>
        <w:right w:w="0" w:type="dxa"/>
      </w:tblCellMar>
    </w:tblPr>
  </w:style>
  <w:style w:type="character" w:styleId="Vurgu">
    <w:name w:val="Emphasis"/>
    <w:basedOn w:val="VarsaylanParagrafYazTipi"/>
    <w:uiPriority w:val="20"/>
    <w:qFormat/>
    <w:rsid w:val="005B5F2D"/>
    <w:rPr>
      <w:i/>
      <w:iCs/>
    </w:rPr>
  </w:style>
  <w:style w:type="character" w:styleId="Gl">
    <w:name w:val="Strong"/>
    <w:basedOn w:val="VarsaylanParagrafYazTipi"/>
    <w:uiPriority w:val="22"/>
    <w:qFormat/>
    <w:rsid w:val="003100FA"/>
    <w:rPr>
      <w:b/>
      <w:bCs/>
    </w:rPr>
  </w:style>
  <w:style w:type="paragraph" w:styleId="ListeParagraf">
    <w:name w:val="List Paragraph"/>
    <w:basedOn w:val="Normal"/>
    <w:uiPriority w:val="34"/>
    <w:qFormat/>
    <w:rsid w:val="00025FDF"/>
    <w:pPr>
      <w:ind w:left="720"/>
      <w:contextualSpacing/>
    </w:pPr>
  </w:style>
  <w:style w:type="paragraph" w:styleId="stBilgi">
    <w:name w:val="header"/>
    <w:basedOn w:val="Normal"/>
    <w:link w:val="stBilgiChar"/>
    <w:uiPriority w:val="99"/>
    <w:unhideWhenUsed/>
    <w:rsid w:val="00F310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10B4"/>
    <w:rPr>
      <w:rFonts w:ascii="Calibri" w:eastAsia="Calibri" w:hAnsi="Calibri" w:cs="Calibri"/>
      <w:color w:val="000000"/>
      <w:lang w:eastAsia="tr-TR"/>
    </w:rPr>
  </w:style>
  <w:style w:type="paragraph" w:styleId="AltBilgi">
    <w:name w:val="footer"/>
    <w:basedOn w:val="Normal"/>
    <w:link w:val="AltBilgiChar"/>
    <w:uiPriority w:val="99"/>
    <w:unhideWhenUsed/>
    <w:rsid w:val="00F310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10B4"/>
    <w:rPr>
      <w:rFonts w:ascii="Calibri" w:eastAsia="Calibri" w:hAnsi="Calibri" w:cs="Calibri"/>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EA236-0519-4A8D-9F24-61D4877A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3</Pages>
  <Words>459</Words>
  <Characters>2620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ÇETİNER</dc:creator>
  <cp:keywords/>
  <dc:description/>
  <cp:lastModifiedBy>Havva ÇETİNER</cp:lastModifiedBy>
  <cp:revision>57</cp:revision>
  <dcterms:created xsi:type="dcterms:W3CDTF">2023-11-21T07:19:00Z</dcterms:created>
  <dcterms:modified xsi:type="dcterms:W3CDTF">2024-06-10T09:10:00Z</dcterms:modified>
</cp:coreProperties>
</file>